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25"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PURSUANT TO SECTION 15(d) OF THE</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660" w:hanging="652"/>
        <w:spacing w:after="0" w:line="282"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AND EXCHANGE ACT OF 1934 (NO FEE REQUIRED, EFFECTIVE OCTOBER 7, 1996).</w:t>
      </w:r>
    </w:p>
    <w:p>
      <w:pPr>
        <w:spacing w:after="0" w:line="15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right="60" w:firstLine="8"/>
        <w:spacing w:after="0" w:line="498"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15(d) OF THE SECURITIES EXCHANGE ACT OF 1934 (NO FEE REQUIRED). For the transition period from ______________ to _________________</w:t>
      </w:r>
    </w:p>
    <w:p>
      <w:pPr>
        <w:spacing w:after="0" w:line="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Commission file number 0-27754</w:t>
      </w:r>
    </w:p>
    <w:p>
      <w:pPr>
        <w:spacing w:after="0" w:line="229" w:lineRule="exact"/>
        <w:rPr>
          <w:sz w:val="24"/>
          <w:szCs w:val="24"/>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48" w:lineRule="exact"/>
        <w:rPr>
          <w:rFonts w:ascii="Times New Roman" w:cs="Times New Roman" w:eastAsia="Times New Roman" w:hAnsi="Times New Roman"/>
          <w:sz w:val="18"/>
          <w:szCs w:val="18"/>
          <w:color w:val="auto"/>
        </w:rPr>
      </w:pPr>
    </w:p>
    <w:p>
      <w:pPr>
        <w:ind w:left="3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Hub Group Employee Profit Sharing and Trust Plan</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2001 Hub Group Way</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Oak Brook, IL 60523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468" w:right="8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having administrative responsibility for the Plan have duly caused this annual report to be signed on its behalf by the undersigned hereunto duly authorized.</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Hub Group Employee Profit Sharing and Trust Plan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Phillip D. Yeager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Phillip D. Yeager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HUB GROUP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EMPLOYEE PROFIT SHARING</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TRUST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380" w:type="dxa"/>
            <w:vAlign w:val="bottom"/>
            <w:gridSpan w:val="5"/>
          </w:tcPr>
          <w:p>
            <w:pPr>
              <w:ind w:left="1780"/>
              <w:spacing w:after="0"/>
              <w:rPr>
                <w:sz w:val="20"/>
                <w:szCs w:val="20"/>
                <w:color w:val="auto"/>
              </w:rPr>
            </w:pPr>
            <w:r>
              <w:rPr>
                <w:rFonts w:ascii="Times New Roman" w:cs="Times New Roman" w:eastAsia="Times New Roman" w:hAnsi="Times New Roman"/>
                <w:sz w:val="18"/>
                <w:szCs w:val="18"/>
                <w:color w:val="auto"/>
              </w:rPr>
              <w:t>CONTENTS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7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4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0000EE"/>
            </w:tcBorders>
          </w:tcPr>
          <w:p>
            <w:pPr>
              <w:spacing w:after="0"/>
              <w:rPr>
                <w:sz w:val="18"/>
                <w:szCs w:val="18"/>
                <w:color w:val="auto"/>
              </w:rPr>
            </w:pPr>
          </w:p>
        </w:tc>
        <w:tc>
          <w:tcPr>
            <w:tcW w:w="304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4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 (MODIFIED CASH BASIS)</w:t>
            </w:r>
          </w:p>
        </w:tc>
        <w:tc>
          <w:tcPr>
            <w:tcW w:w="14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304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4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 (MODIFIED CASH BASIS)</w:t>
            </w:r>
          </w:p>
        </w:tc>
        <w:tc>
          <w:tcPr>
            <w:tcW w:w="14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304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4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4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3040" w:type="dxa"/>
            <w:vAlign w:val="bottom"/>
            <w:tcBorders>
              <w:top w:val="single" w:sz="8" w:color="0000EE"/>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4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 (MODIFIED CASH BASIS)</w:t>
            </w:r>
          </w:p>
        </w:tc>
        <w:tc>
          <w:tcPr>
            <w:tcW w:w="14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46"/>
        </w:trPr>
        <w:tc>
          <w:tcPr>
            <w:tcW w:w="34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0000EE"/>
              <w:bottom w:val="single" w:sz="8" w:color="auto"/>
            </w:tcBorders>
          </w:tcPr>
          <w:p>
            <w:pPr>
              <w:spacing w:after="0"/>
              <w:rPr>
                <w:sz w:val="24"/>
                <w:szCs w:val="24"/>
                <w:color w:val="auto"/>
              </w:rPr>
            </w:pPr>
          </w:p>
        </w:tc>
        <w:tc>
          <w:tcPr>
            <w:tcW w:w="242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456565</wp:posOffset>
            </wp:positionH>
            <wp:positionV relativeFrom="page">
              <wp:posOffset>243205</wp:posOffset>
            </wp:positionV>
            <wp:extent cx="664337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643370" cy="6000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 Group Employee Profit Sharing and Trust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(modified cash basis) of the Hub Group Employee Profit Sharing and Trust Plan (“the Plan”) as of December 31, 2025 and 2024, and the related statement of changes in net assets available for benefits (modified cash basis) for the year ended December 31, 2025. These financial statements are the responsibility of the Plan's management. Our responsibility is to express an opinion on these financial statements based on our audits.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described in Note 2, these financial statements were prepared on a modified cash basis of accounting, which is a comprehensive basis of accounting other than accounting principles generally accepted in the United States of America.</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Plan (modified cash basis) as of December 31, 2025 and 2024, and the changes in net assets available for benefits (modified cash basis) for the year ended December 31, 2025 on the basis of accounting described in Note 2.</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(modified cash basis) as of December 31, 2025 has been subjected to audit procedures performed in conjunction with the audit of the Plan’s financial statements. The supplemental schedule is the responsibility of the Plan’s management. Our audit procedures included determining whether the information presented in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the form and content, is presented in conformity with the Department of Labor’s Rules and Regulations for Reporting and Disclosure under the Employee Retirement Income Security Act of 1974. In our opinion, the supplemental schedule (modified cash basis) is fairly stated in all material respects in relation to the financial statements as a whole.</w:t>
      </w: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Oakbrook Terrace,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1737360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(Modified Cash Basis)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297,236,972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262,516,156</w:t>
            </w:r>
          </w:p>
        </w:tc>
      </w:tr>
      <w:tr>
        <w:trPr>
          <w:trHeight w:val="216"/>
        </w:trPr>
        <w:tc>
          <w:tcPr>
            <w:tcW w:w="5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6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6,049,867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4,989,756</w:t>
            </w:r>
          </w:p>
        </w:tc>
      </w:tr>
      <w:tr>
        <w:trPr>
          <w:trHeight w:val="209"/>
        </w:trPr>
        <w:tc>
          <w:tcPr>
            <w:tcW w:w="5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net assets available for benefits</w:t>
            </w: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303,286,839</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267,505,912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HUB GROUP</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EMPLOYEE PROFIT SHARING AND TRUST PLAN</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8"/>
              </w:rPr>
              <w:t>STATEMENT OF CHANGES IN NET ASSETS AVAILABLE FOR BENEFITS</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(Modified Cash Basis)</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9340" w:type="dxa"/>
            <w:vAlign w:val="bottom"/>
            <w:tcBorders>
              <w:bottom w:val="single" w:sz="8" w:color="auto"/>
            </w:tcBorders>
          </w:tcPr>
          <w:p>
            <w:pPr>
              <w:jc w:val="center"/>
              <w:ind w:left="1830"/>
              <w:spacing w:after="0"/>
              <w:rPr>
                <w:sz w:val="20"/>
                <w:szCs w:val="20"/>
                <w:color w:val="auto"/>
              </w:rPr>
            </w:pPr>
            <w:r>
              <w:rPr>
                <w:rFonts w:ascii="Times New Roman" w:cs="Times New Roman" w:eastAsia="Times New Roman" w:hAnsi="Times New Roman"/>
                <w:sz w:val="18"/>
                <w:szCs w:val="18"/>
                <w:color w:val="auto"/>
                <w:w w:val="98"/>
              </w:rPr>
              <w:t>Year ended December 31, 2025</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09"/>
        </w:trPr>
        <w:tc>
          <w:tcPr>
            <w:tcW w:w="9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27,368,079</w:t>
            </w:r>
          </w:p>
        </w:tc>
      </w:tr>
      <w:tr>
        <w:trPr>
          <w:trHeight w:val="216"/>
        </w:trPr>
        <w:tc>
          <w:tcPr>
            <w:tcW w:w="9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Rollovers</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2,596,735</w:t>
            </w:r>
          </w:p>
        </w:tc>
      </w:tr>
      <w:tr>
        <w:trPr>
          <w:trHeight w:val="216"/>
        </w:trPr>
        <w:tc>
          <w:tcPr>
            <w:tcW w:w="9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Employer</w:t>
            </w: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7,970,397</w:t>
            </w:r>
          </w:p>
        </w:tc>
      </w:tr>
      <w:tr>
        <w:trPr>
          <w:trHeight w:val="209"/>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37,935,211</w:t>
            </w:r>
          </w:p>
        </w:tc>
      </w:tr>
      <w:tr>
        <w:trPr>
          <w:trHeight w:val="216"/>
        </w:trPr>
        <w:tc>
          <w:tcPr>
            <w:tcW w:w="9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39,589,315</w:t>
            </w:r>
          </w:p>
        </w:tc>
      </w:tr>
      <w:tr>
        <w:trPr>
          <w:trHeight w:val="216"/>
        </w:trPr>
        <w:tc>
          <w:tcPr>
            <w:tcW w:w="9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dividends</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2,034,475</w:t>
            </w:r>
          </w:p>
        </w:tc>
      </w:tr>
      <w:tr>
        <w:trPr>
          <w:trHeight w:val="209"/>
        </w:trPr>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4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41,623,790</w:t>
            </w:r>
          </w:p>
        </w:tc>
      </w:tr>
      <w:tr>
        <w:trPr>
          <w:trHeight w:val="216"/>
        </w:trPr>
        <w:tc>
          <w:tcPr>
            <w:tcW w:w="9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4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452,802</w:t>
            </w:r>
          </w:p>
        </w:tc>
      </w:tr>
      <w:tr>
        <w:trPr>
          <w:trHeight w:val="216"/>
        </w:trPr>
        <w:tc>
          <w:tcPr>
            <w:tcW w:w="9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(43,786,625)</w:t>
            </w:r>
          </w:p>
        </w:tc>
      </w:tr>
      <w:tr>
        <w:trPr>
          <w:trHeight w:val="216"/>
        </w:trPr>
        <w:tc>
          <w:tcPr>
            <w:tcW w:w="9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(444,251)</w:t>
            </w:r>
          </w:p>
        </w:tc>
      </w:tr>
      <w:tr>
        <w:trPr>
          <w:trHeight w:val="210"/>
        </w:trPr>
        <w:tc>
          <w:tcPr>
            <w:tcW w:w="9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4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35,780,927</w:t>
            </w:r>
          </w:p>
        </w:tc>
      </w:tr>
      <w:tr>
        <w:trPr>
          <w:trHeight w:val="216"/>
        </w:trPr>
        <w:tc>
          <w:tcPr>
            <w:tcW w:w="9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year</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267,505,912</w:t>
            </w:r>
          </w:p>
        </w:tc>
      </w:tr>
      <w:tr>
        <w:trPr>
          <w:trHeight w:val="210"/>
        </w:trPr>
        <w:tc>
          <w:tcPr>
            <w:tcW w:w="9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of year</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303,286,839</w:t>
            </w:r>
          </w:p>
        </w:tc>
      </w:tr>
      <w:tr>
        <w:trPr>
          <w:trHeight w:val="20"/>
        </w:trPr>
        <w:tc>
          <w:tcPr>
            <w:tcW w:w="9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brief description of the Hub Group Employee Profit Sharing and Trust Plan (“the Plan”) is provided for general information purposes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document for more complete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is a defined contribution plan established by Hub Group, Inc. (the “Company”) covering substantially all full-time and part-time employees. The Plan is subject to the provisions of the Employee Retirement Income Security Act of 1974, as amended (“ERISA”).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Each year, participants may contribute up to 60% of pretax annual compensation, as defined in the Plan subject to certain limitations under the Internal Revenue Code (“IRC”). In addition, participants may elect to designate a portion or all of their contributions as Roth 401(k) contributions. As of May 1, 2024, participants may also elect to contribute to the after-tax source, subject to certain IRC limits. Participants may also contribute amounts representing distributions from other qualified defined benefit or contribution plans. Participants who are age fifty and over may also contribute catch up contributions as allowed under the IRC.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one-year (with at least 1,000 hours of service) waiting period is required for employer contributions, with the stipulation that the employee must be on the payroll at December 31 of each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plan year ended December 31, 2025, the Company provided matching contributions equal to 50% of each participant’s pretax and/or Roth contributions up to a maximum of 3% of each participant’s qualified earnings or $10,500, whichever was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plan year ended December 31, 2024, the Company provided matching contributions equal to 50% of each participant’s pretax and/or Roth contributions up to a maximum of 3% of each participant’s qualified earnings or $10,350, whichever was less.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Catch up contributions are not eligible to be matched. The Company may also make an annual discretionary profit-sharing contribution in an amount determined by the Board of Trustees. This contribution is allocated to eligible participants at the end of the Plan year based on the ratio of a participant’s compensation to the total compensation of all participants for the Plan year. No discretionary profit-sharing contributions were made in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Participant Accounts</w:t>
      </w:r>
      <w:r>
        <w:rPr>
          <w:rFonts w:ascii="Times New Roman" w:cs="Times New Roman" w:eastAsia="Times New Roman" w:hAnsi="Times New Roman"/>
          <w:sz w:val="18"/>
          <w:szCs w:val="18"/>
          <w:color w:val="auto"/>
        </w:rPr>
        <w:t>: Individual accounts are maintained for each of the Plan’s participants to reflect the participant’s contributions and related Company matching contributions, Company discretionary profit-sharing contributions, as well as the participant’s share of the Plan’s income and any related administrative expenses and his or her withdrawals.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Automatic Enrollment</w:t>
      </w:r>
      <w:r>
        <w:rPr>
          <w:rFonts w:ascii="Times New Roman" w:cs="Times New Roman" w:eastAsia="Times New Roman" w:hAnsi="Times New Roman"/>
          <w:sz w:val="18"/>
          <w:szCs w:val="18"/>
          <w:color w:val="auto"/>
        </w:rPr>
        <w:t>: The Plan includes a qualified automatic contribution arrangement, pursuant to which all newly eligible employees are enrolled automatically with a 6% tax-deferred contribution rate, unless the employee elects otherwise. These contributions are invested in the Plan’s default investment option. Employees may opt out of the automatic enrollment, stop contributions, modify their contribution rate, or change investment elections at any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Participants are immediately vested in their contributions and employer contributions plus earnings thereon. Any forfeitures that arise, primarily from return of excess employer contributions, are used to pay plan expenses or to reduce the employer matching contribution. As of December 31, 2025 and 2024, $44,189 and $31,310 forfeitures were available to pay expenses or offset future employer contributions,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PLAN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Payment of Benefits</w:t>
      </w:r>
      <w:r>
        <w:rPr>
          <w:rFonts w:ascii="Times New Roman" w:cs="Times New Roman" w:eastAsia="Times New Roman" w:hAnsi="Times New Roman"/>
          <w:sz w:val="18"/>
          <w:szCs w:val="18"/>
          <w:color w:val="auto"/>
        </w:rPr>
        <w:t>: On termination of service due to death, disability, retirement or termination of service due to other reasons, a participant, or designated beneficiary, may elect to receive either a lump-sum amount equal to the value of the participant’s vested interest in his or her account or installment payments. The plan uses an automated small balance distribution process for balances belonging to terminated participants. Fidelity, the plan recordkeeper, manages this process on an annual basis, subject to the limits in the plan document. A participant may also elect to withdraw his or her rollover contributions. Active participants may also take distributions from the plan upon attainment of the age of 59 1/2.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Hardship Withdrawals</w:t>
      </w:r>
      <w:r>
        <w:rPr>
          <w:rFonts w:ascii="Times New Roman" w:cs="Times New Roman" w:eastAsia="Times New Roman" w:hAnsi="Times New Roman"/>
          <w:sz w:val="18"/>
          <w:szCs w:val="18"/>
          <w:color w:val="auto"/>
        </w:rPr>
        <w:t>: Subject to approval by Fidelity Investments Institutional Operations Company, Inc. (the “Recordkeeper”), participants may withdraw their employee pretax contributions, to satisfy immediate and heavy financial needs, as determined by the Plan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Participants direct the investment of their contributions and Company contributions into various investment options including Company common stock, certain mutual fund investments, a stable value fund, certain collective investment trusts and a self-directed brokerage account option offered by the Plan. The self-directed brokerage account includes certificates of deposit, common stock and mutual funds. Participants are able to change their investment elections on a daily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xml:space="preserve"> Participants may borrow from their fund accounts a minimum of $1,000 up to a maximum of $50,000 or 50% of their vested account balance, whichever is less. The loans are secured by the balance in the participant’s account and bear interest at rates which are commensurate with local prevailing rates. Principal and interest were paid ratably through payroll deductions over periods ranging up to 120 months (i.e., mortgage) until April 30, 2024. Effective May 1, 2024, loans were transferred to electronic loan repayments that require participants to setup loans directly with Fidelity by means of an ACH debit from a personal bank account.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Basis of Accounting</w:t>
      </w:r>
      <w:r>
        <w:rPr>
          <w:rFonts w:ascii="Times New Roman" w:cs="Times New Roman" w:eastAsia="Times New Roman" w:hAnsi="Times New Roman"/>
          <w:sz w:val="18"/>
          <w:szCs w:val="18"/>
          <w:color w:val="auto"/>
        </w:rPr>
        <w:t>: The accompanying financial statements have been prepared using the modified cash basis of accounting, which is a comprehensive basis of accounting other than U.S. generally accepted accounting principles. Under the modified cash basis of accounting, investments are recorded at fair value, interest and dividend income are recognized when received and benefit payments and contributions are recorded as the cash is paid or received. Administrative expenses are recorded when paid.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Plan’s financial statements had been prepared using the accrual basis of U.S. generally accepted accounting principles, $7,415,051 and $7,994,757 of employer contributions receivable would have been recorded in the statements of net assets available for benefits as of December 31, 2025 and 2024, respectively. There was no liability for excess contributions refundable at both December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accordance with U.S. generally accepted accounting principles requires management to make estimates and assumptions that affect the reported amounts of assets and liabilities and changes therein, and disclosures of contingent assets and liabilities. Actual results may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Investment Valuation</w:t>
      </w:r>
      <w:r>
        <w:rPr>
          <w:rFonts w:ascii="Times New Roman" w:cs="Times New Roman" w:eastAsia="Times New Roman" w:hAnsi="Times New Roman"/>
          <w:sz w:val="18"/>
          <w:szCs w:val="18"/>
          <w:color w:val="auto"/>
        </w:rPr>
        <w:t>: Investments are stated at fair value (see Note 3). Purchases and sales are recorded on a settlement-date basis. Net appreciation (depreciation)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Risks and Uncertainties</w:t>
      </w:r>
      <w:r>
        <w:rPr>
          <w:rFonts w:ascii="Times New Roman" w:cs="Times New Roman" w:eastAsia="Times New Roman" w:hAnsi="Times New Roman"/>
          <w:sz w:val="18"/>
          <w:szCs w:val="18"/>
          <w:color w:val="auto"/>
        </w:rPr>
        <w:t>: The Plan provides for investments in Company common stock, a stable value fund, collective investment trusts, certificates of deposit and mutual funds that, in general, are exposed to various risks, such as interest rate, credit, liquidity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participants’ individual account balances.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Notes receivable from participants are reported at their unpaid principal balance plus any accrued but unpaid interest, with no allowance for credit losses, as repayments of principal and interest are received through payroll deductions and the notes are collateralized by the participants’ account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The majority of administrative expenses are paid by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by the Plan for an asset or paid by the Plan to transfer a liability (an exit price) in an orderly transaction between market participants on the measurement date in the Plan’s principal or most advantageous market for the asset or liability. Fair value measurements are determined by maximizing the use of observable inputs and minimizing the use of unobservable inputs when measuring fair value.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as follows:</w:t>
      </w:r>
    </w:p>
    <w:p>
      <w:pPr>
        <w:spacing w:after="0" w:line="181"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for identical assets or liabilities in active markets that the Plan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Significant other observable inputs other than Level 1 prices such as quoted prices for similar assets or liabilities;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Significant unobservable inputs that reflect the Plan’s own assumptions about the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an asset or liability.</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some cases, a valuation technique used to measure fair value may include inputs from multiple levels of the fair value hierarchy. The lowest level of significant input determines the placement of the entire fair value measurement in the hierarchy.</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Mutual funds, Company common stock and self-directed brokerage accounts</w:t>
      </w:r>
      <w:r>
        <w:rPr>
          <w:rFonts w:ascii="Times New Roman" w:cs="Times New Roman" w:eastAsia="Times New Roman" w:hAnsi="Times New Roman"/>
          <w:sz w:val="18"/>
          <w:szCs w:val="18"/>
          <w:color w:val="auto"/>
        </w:rPr>
        <w:t>: The brokerage accounts are primarily comprised of mutual funds,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stocks, and other investment securities permitted by the brokerage platform. The fair values of mutual fund investments, Company common stock and brokerage accounts are determined by obtaining quoted prices on nationally recognized securities exchanges (Level 1 inputs).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Money market deposit accounts</w:t>
      </w:r>
      <w:r>
        <w:rPr>
          <w:rFonts w:ascii="Times New Roman" w:cs="Times New Roman" w:eastAsia="Times New Roman" w:hAnsi="Times New Roman"/>
          <w:sz w:val="18"/>
          <w:szCs w:val="18"/>
          <w:color w:val="auto"/>
        </w:rPr>
        <w:t>: Fair values are estimated to approximate deposit account balances, payable on demand, as no discounts for credit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liquidity were determined to be applicable (Level 2 inputs).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FAIR VALUE MEASUREMENTS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Collective investment trusts: </w:t>
      </w:r>
      <w:r>
        <w:rPr>
          <w:rFonts w:ascii="Times New Roman" w:cs="Times New Roman" w:eastAsia="Times New Roman" w:hAnsi="Times New Roman"/>
          <w:sz w:val="18"/>
          <w:szCs w:val="18"/>
          <w:color w:val="auto"/>
        </w:rPr>
        <w:t>Valued at net asset value (“NAV”) of the units in the collective investment trust funds. The NAV, as provided by the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is used as a practical expedient to estimate fair value. The NAV is based on fair value of the underlying investments held by the fund less its liabilities. This practical expedient is not used when it is determined to be probable that the fund will sell the investment for a different amount than the reported NAV. Participant transactions may occur daily with no redemption restrictions. Plan sponsor directed withdrawals may be subject to a five-day written notice requirement.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Stable value fund: </w:t>
      </w:r>
      <w:r>
        <w:rPr>
          <w:rFonts w:ascii="Times New Roman" w:cs="Times New Roman" w:eastAsia="Times New Roman" w:hAnsi="Times New Roman"/>
          <w:sz w:val="18"/>
          <w:szCs w:val="18"/>
          <w:color w:val="auto"/>
        </w:rPr>
        <w:t>The fair values of participation units in the stable value collective trust fund are based on the net asset values per unit. Units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are redeemable upon receipt of unitholder’s instruction based on the next determined net asset value per unit. Net asset value per unit is determined each business day.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measured at fair value on a recurring basis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2025</w:t>
            </w:r>
          </w:p>
        </w:tc>
        <w:tc>
          <w:tcPr>
            <w:tcW w:w="1180" w:type="dxa"/>
            <w:vAlign w:val="bottom"/>
            <w:tcBorders>
              <w:bottom w:val="single" w:sz="8" w:color="auto"/>
            </w:tcBorders>
          </w:tcPr>
          <w:p>
            <w:pPr>
              <w:spacing w:after="0"/>
              <w:rPr>
                <w:sz w:val="20"/>
                <w:szCs w:val="20"/>
                <w:color w:val="auto"/>
              </w:rPr>
            </w:pPr>
          </w:p>
        </w:tc>
      </w:tr>
      <w:tr>
        <w:trPr>
          <w:trHeight w:val="187"/>
        </w:trPr>
        <w:tc>
          <w:tcPr>
            <w:tcW w:w="5060" w:type="dxa"/>
            <w:vAlign w:val="bottom"/>
          </w:tcPr>
          <w:p>
            <w:pPr>
              <w:spacing w:after="0"/>
              <w:rPr>
                <w:sz w:val="16"/>
                <w:szCs w:val="16"/>
                <w:color w:val="auto"/>
              </w:rPr>
            </w:pPr>
          </w:p>
        </w:tc>
        <w:tc>
          <w:tcPr>
            <w:tcW w:w="142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14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63,121,349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63,121,349</w:t>
            </w: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5,489,532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5,489,532</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8,649,629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8,649,629</w:t>
            </w: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deposit account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165,310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165,310</w:t>
            </w:r>
          </w:p>
        </w:tc>
      </w:tr>
      <w:tr>
        <w:trPr>
          <w:trHeight w:val="250"/>
        </w:trPr>
        <w:tc>
          <w:tcPr>
            <w:tcW w:w="50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77,260,510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165,310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77,425,820</w:t>
            </w:r>
          </w:p>
        </w:tc>
      </w:tr>
      <w:tr>
        <w:trPr>
          <w:trHeight w:val="196"/>
        </w:trPr>
        <w:tc>
          <w:tcPr>
            <w:tcW w:w="5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218,387,629</w:t>
            </w:r>
          </w:p>
        </w:tc>
      </w:tr>
      <w:tr>
        <w:trPr>
          <w:trHeight w:val="216"/>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Stable value fund *</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1,423,523</w:t>
            </w:r>
          </w:p>
        </w:tc>
      </w:tr>
      <w:tr>
        <w:trPr>
          <w:trHeight w:val="210"/>
        </w:trPr>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297,236,972</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 FAIR VALUE MEASUREMENTS </w:t>
            </w:r>
            <w:r>
              <w:rPr>
                <w:rFonts w:ascii="Times New Roman" w:cs="Times New Roman" w:eastAsia="Times New Roman" w:hAnsi="Times New Roman"/>
                <w:sz w:val="18"/>
                <w:szCs w:val="18"/>
                <w:color w:val="auto"/>
              </w:rPr>
              <w:t>(Continued)</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c>
          <w:tcPr>
            <w:tcW w:w="1180" w:type="dxa"/>
            <w:vAlign w:val="bottom"/>
            <w:tcBorders>
              <w:bottom w:val="single" w:sz="8" w:color="auto"/>
            </w:tcBorders>
          </w:tcPr>
          <w:p>
            <w:pPr>
              <w:spacing w:after="0"/>
              <w:rPr>
                <w:sz w:val="24"/>
                <w:szCs w:val="24"/>
                <w:color w:val="auto"/>
              </w:rPr>
            </w:pPr>
          </w:p>
        </w:tc>
      </w:tr>
      <w:tr>
        <w:trPr>
          <w:trHeight w:val="187"/>
        </w:trPr>
        <w:tc>
          <w:tcPr>
            <w:tcW w:w="5060" w:type="dxa"/>
            <w:vAlign w:val="bottom"/>
          </w:tcPr>
          <w:p>
            <w:pPr>
              <w:spacing w:after="0"/>
              <w:rPr>
                <w:sz w:val="16"/>
                <w:szCs w:val="16"/>
                <w:color w:val="auto"/>
              </w:rPr>
            </w:pPr>
          </w:p>
        </w:tc>
        <w:tc>
          <w:tcPr>
            <w:tcW w:w="142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14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53,180,315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53,180,315</w:t>
            </w: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6,357,464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6,357,464</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7,199,429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7,199,429</w:t>
            </w:r>
          </w:p>
        </w:tc>
      </w:tr>
      <w:tr>
        <w:trPr>
          <w:trHeight w:val="21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deposit account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200,914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200,914</w:t>
            </w:r>
          </w:p>
        </w:tc>
      </w:tr>
      <w:tr>
        <w:trPr>
          <w:trHeight w:val="209"/>
        </w:trPr>
        <w:tc>
          <w:tcPr>
            <w:tcW w:w="5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66,737,208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200,914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66,938,122</w:t>
            </w: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7"/>
        </w:trPr>
        <w:tc>
          <w:tcPr>
            <w:tcW w:w="5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194,262,839</w:t>
            </w:r>
          </w:p>
        </w:tc>
      </w:tr>
      <w:tr>
        <w:trPr>
          <w:trHeight w:val="21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Stable value fund *</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1,315,195</w:t>
            </w:r>
          </w:p>
        </w:tc>
      </w:tr>
      <w:tr>
        <w:trPr>
          <w:trHeight w:val="209"/>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262,516,156</w:t>
            </w:r>
          </w:p>
        </w:tc>
      </w:tr>
    </w:tbl>
    <w:p>
      <w:pPr>
        <w:spacing w:after="0" w:line="198" w:lineRule="exact"/>
        <w:rPr>
          <w:sz w:val="20"/>
          <w:szCs w:val="20"/>
          <w:color w:val="auto"/>
        </w:rPr>
      </w:pPr>
    </w:p>
    <w:p>
      <w:pPr>
        <w:ind w:right="140" w:firstLine="8"/>
        <w:spacing w:after="0" w:line="266"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measured at fair value using net asset value per share (or its equivalent) as a practical expedient have not been classified in the fair value hierarchy. The fair value amounts presented in the hierarchy tables for such investments are intended to permit reconciliation of the fair value hierarchy to the investments at fair value line item presented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TAX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is a Non-standardized 401(k) Profit Sharing Prototype Plan (“Prototype Plan”) sponsored by Fidelity Management and Research Company and adopted by the Company. The Prototype Plan obtained its latest opinion letter on June 30, 2020, in which the Internal Revenue Service (“IRS”) stated that the Prototype Plan, as then designed, follows the applicable requirements of the Internal Revenue Code. The Plan has not requested its own determination letter from the IRS. The Plan has been amended. However, the Plan administrator believes that the Plan is currently designed and being operated in compliance with the applicable requirements of the IRS. Therefore, the Plan administrator believes that the Plan is qualified and that the related trust was tax exempt as of the financial statement dates.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Department of Labor or the Internal Revenue Service. Under the modified cash basis of accounting, which is utilized by the Plan in preparation of these financial statements, the Plan would disclose, rather than recognize, the liability for such an uncertain tax position. The Plan administrator has analyzed the tax positions taken by the Plan, and has concluded that as of December 31, 2025 and 2024, there are no uncertain tax positions taken or expected to be taken that would require disclosure in the financial statements. The Plan is subject to routine audits by taxing jurisdictions; however, there are currently no audits for any tax periods in progress. The plan administrator believes it is no longer subject to income tax examinations for years prior to 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PLAN TERMINATION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 balances.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PARTY-IN-INTEREST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Party-in-interest transactions are defined under ERISA and the associated Department of Labor rules and regulations as any Plan transactions involving any fiduciary of the Plan, any party rendering service to the Plan, the Company, and certain others. The Plan invests in shares of stable value funds and mutual funds managed by the Trustee or an affiliate of the Trustee, which qualify as party-in-interest transactions.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also allows loans to participants. At December 31, 2025 and 2024, the Plan had $6,049,867 and $4,989,756, respectively, in participant loans, which qualify as party-in-interest transactions.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Fees paid by the Plan to the Trustee or an affiliate of the Trustee for recordkeeping, administration, loan set-up, loan maintenance, short-term redemption fees and other charges amounted to approximately $444,251 for the year ended December 31, 2025. Investment management fees and operating expenses charged to the Plan for investments are deducted from income earned on investments and are not separately reflected. Consequently, investment management fees and operating expenses paid to parties in interest are reflected as a reduction of investment return for such investments.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Plan had $5,489,532 and $6,357,464, respectively, invested in Company stock. The Plan held 128,832 and 142,672 shares of Company stock as of December 31, 2025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Plan purchased and sold shares of Company common stock as part of its normal investment activities. The aggregate cost of employer stock purchased during the year was $1,991,274, and the proceeds from sales of employer stock were $2,550,751. As a result of these transactions, the Plan recognized net realized gains (losses) of $406,757 related to the sale of Company common stock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qualify as party-in-interest transactions, which are exempt from the prohibited transaction rules.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has evaluated, for consideration of recognition or disclosure, subsequent events and has determined that no significant events occurred after December 31, 2025 that would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2581910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(HELD AT END OF YEAR) (MODIFIED CASH BASIS)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plan sponsor: Hub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identification number: 36-4007085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Three-digit plan number: 001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89"/>
              </w:rPr>
              <w:t>(e)</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Description of Investment Including Maturity</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Identity of Issue, Borrower,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Current</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Rate of Interest, Collateral, Par or Maturity</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Lessor, or Similar Party</w:t>
            </w: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Stable Value Fund</w:t>
            </w:r>
          </w:p>
        </w:tc>
        <w:tc>
          <w:tcPr>
            <w:tcW w:w="212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Fidelity Management Trust Company</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Fidelity Managed Income Portfolio</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1,423,523</w:t>
            </w:r>
          </w:p>
        </w:tc>
      </w:tr>
      <w:tr>
        <w:trPr>
          <w:trHeight w:val="216"/>
        </w:trPr>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75"/>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Collective Investment Trust</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 Gray Trust Company, LLC</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GG Fkln Sm Cap Val</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826,992</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Great Gray Trust Company, LLC</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Large Cap Grth II R1</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33,182,561</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 Gray Trust Company, LLC</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Intl Growth II R1</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4,494,249</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Great Gray Trust Company, LLC</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Large Cap Value II R1</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4,489,789</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 Gray Trust Company, LLC</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Mid Cap Val II R1</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4,278,073</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Great Gray Trust Company, LLC</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Small Cap Growth R1</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385,579</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Lifepath RET G</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16,346,908</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Btc Lifepath 2030 G</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16,939,795</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Lifepath 2035 G</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26,606,334</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Btc Lifepath 2040 G</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22,379,282</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Lifepath 2045 G</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21,236,120</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Btc Lifepath 2050 G</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27,004,063</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Lifepath 2055 G</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25,276,851</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Btc Lifepath 2060 G</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11,800,140</w:t>
            </w:r>
          </w:p>
        </w:tc>
      </w:tr>
      <w:tr>
        <w:trPr>
          <w:trHeight w:val="216"/>
        </w:trPr>
        <w:tc>
          <w:tcPr>
            <w:tcW w:w="42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Institutional Trust</w:t>
            </w:r>
          </w:p>
        </w:tc>
        <w:tc>
          <w:tcPr>
            <w:tcW w:w="1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Lifepath 2065 G</w:t>
            </w:r>
          </w:p>
        </w:tc>
        <w:tc>
          <w:tcPr>
            <w:tcW w:w="16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3,140,893</w:t>
            </w:r>
          </w:p>
        </w:tc>
      </w:tr>
      <w:tr>
        <w:trPr>
          <w:trHeight w:val="210"/>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Total collective trusts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218,387,629</w:t>
            </w:r>
          </w:p>
        </w:tc>
      </w:tr>
      <w:tr>
        <w:trPr>
          <w:trHeight w:val="216"/>
        </w:trPr>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75"/>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Participant Individual Brokerage Accounts</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8,649,629</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Mutual Funds</w:t>
            </w:r>
          </w:p>
        </w:tc>
        <w:tc>
          <w:tcPr>
            <w:tcW w:w="244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American Funds</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Af Balanced R6</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2,926,537</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Blkrk High Yld Bd K</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429,437</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 Strat Glb Bd K</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41,501</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Dimensional Fund Advisors</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Dfa Emrg Mkt Core Eq</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2,685,917</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Franklin</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Fkln Convrtbl Sec R6</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1,648,514</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Franklin</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Fkln Utilities R6</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751,340</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Goldman Sachs</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GS Infl Pro Secs R6</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433,058</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JP Morgan</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JPM Core Plus Bnd R6</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1,907,189</w:t>
            </w:r>
          </w:p>
        </w:tc>
      </w:tr>
      <w:tr>
        <w:trPr>
          <w:trHeight w:val="216"/>
        </w:trPr>
        <w:tc>
          <w:tcPr>
            <w:tcW w:w="42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 Morgan</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JPM Mid Cap Grth R6</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2,561,645</w:t>
            </w:r>
          </w:p>
        </w:tc>
      </w:tr>
      <w:tr>
        <w:trPr>
          <w:trHeight w:val="216"/>
        </w:trPr>
        <w:tc>
          <w:tcPr>
            <w:tcW w:w="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Pimco Income Inst</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881,507</w:t>
            </w:r>
          </w:p>
        </w:tc>
      </w:tr>
      <w:tr>
        <w:trPr>
          <w:trHeight w:val="216"/>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Fid 500 Index</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29,155,503</w:t>
            </w:r>
          </w:p>
        </w:tc>
      </w:tr>
      <w:tr>
        <w:trPr>
          <w:trHeight w:val="216"/>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Fid Govt Mmkt K6</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6,337,617</w:t>
            </w:r>
          </w:p>
        </w:tc>
      </w:tr>
      <w:tr>
        <w:trPr>
          <w:trHeight w:val="216"/>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Fid Inv Gr Bd</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3,087,281</w:t>
            </w:r>
          </w:p>
        </w:tc>
      </w:tr>
      <w:tr>
        <w:trPr>
          <w:trHeight w:val="216"/>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Fid Intl Index</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3,483,398</w:t>
            </w:r>
          </w:p>
        </w:tc>
      </w:tr>
      <w:tr>
        <w:trPr>
          <w:trHeight w:val="216"/>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Fid Mid Cap Idx</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2,114,808</w:t>
            </w:r>
          </w:p>
        </w:tc>
      </w:tr>
      <w:tr>
        <w:trPr>
          <w:trHeight w:val="216"/>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shd w:val="clear" w:color="auto" w:fill="CCEEFF"/>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Fid Real Estate Idx</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786,437</w:t>
            </w:r>
          </w:p>
        </w:tc>
      </w:tr>
      <w:tr>
        <w:trPr>
          <w:trHeight w:val="216"/>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Fid Sm Cap Idx</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2,954,341</w:t>
            </w:r>
          </w:p>
        </w:tc>
      </w:tr>
      <w:tr>
        <w:trPr>
          <w:trHeight w:val="216"/>
        </w:trPr>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Fid US Bond Idx</w:t>
            </w:r>
          </w:p>
        </w:tc>
        <w:tc>
          <w:tcPr>
            <w:tcW w:w="16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935,319</w:t>
            </w:r>
          </w:p>
        </w:tc>
      </w:tr>
      <w:tr>
        <w:trPr>
          <w:trHeight w:val="228"/>
        </w:trPr>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7"/>
              </w:rPr>
              <w:t>Total mutual funds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63,121,349</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Independent Auditor’s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69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HUB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PROFIT SHARING AND TRUST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(HELD AT END OF YEAR) (MODIFIED CASH BASIS)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plan sponsor: Hub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identification number: 36-4007085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Three-digit plan number: 001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89"/>
              </w:rPr>
              <w:t>(e)</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Description of Investment Including Maturity</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Identity of Issue, Borrower,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Current</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Rate of Interest, Collateral, Par or Maturity</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6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Lessor, or Similar Party</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Hub Group, Inc.</w:t>
            </w:r>
          </w:p>
        </w:tc>
        <w:tc>
          <w:tcPr>
            <w:tcW w:w="3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Hub Group, Inc. Common Stock</w:t>
            </w: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5,489,532</w:t>
            </w:r>
          </w:p>
        </w:tc>
      </w:tr>
      <w:tr>
        <w:trPr>
          <w:trHeight w:val="216"/>
        </w:trPr>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76"/>
        </w:trPr>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6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Money Market</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Investments</w:t>
            </w:r>
          </w:p>
        </w:tc>
        <w:tc>
          <w:tcPr>
            <w:tcW w:w="36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165,310</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5"/>
        </w:trPr>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Notes  receivable  from  participants  maturing</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Participant Loans</w:t>
            </w:r>
          </w:p>
        </w:tc>
        <w:tc>
          <w:tcPr>
            <w:tcW w:w="3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through</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6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2035 with interest rates from 4.25% to 9.50%</w:t>
            </w:r>
          </w:p>
        </w:tc>
        <w:tc>
          <w:tcPr>
            <w:tcW w:w="16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6,049,867</w:t>
            </w:r>
          </w:p>
        </w:tc>
      </w:tr>
      <w:tr>
        <w:trPr>
          <w:trHeight w:val="209"/>
        </w:trPr>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303,286,839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party-in-interest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Investment is participant directed. Cost disclosure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Independent Auditor’s Report.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58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333-36331 and 333-107745 on Form S-8 of Hub Group Inc. of our report dated June 26, 2026 appearing in this Annual Report on Form 11-K of Hub Group Employee Profit Sharing and Trust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Crowe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Oakbrook Terrace,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sectPr>
      <w:pgSz w:w="11900" w:h="16838" w:orient="portrait"/>
      <w:cols w:equalWidth="0" w:num="1">
        <w:col w:w="11080"/>
      </w:cols>
      <w:pgMar w:left="48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2026-06-29T17:17:44Z</dcterms:created>
  <dcterms:modified xsi:type="dcterms:W3CDTF">2026-06-29T17:17:44Z</dcterms:modified>
</cp:coreProperties>
</file>